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2200275</wp:posOffset>
            </wp:positionH>
            <wp:positionV relativeFrom="paragraph">
              <wp:posOffset>-552449</wp:posOffset>
            </wp:positionV>
            <wp:extent cx="1333500" cy="13811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8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SPORTS PREMIUM GRANT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Sport Premium Grant is a Government package of funding for Primary School PE and school sport provided by the Department of Education, Health and Culture, Media and Sport.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Funds carries forward from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£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funds for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£2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0,435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spending for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£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12,964.10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5"/>
        <w:gridCol w:w="1583"/>
        <w:gridCol w:w="1899"/>
        <w:gridCol w:w="1958"/>
        <w:gridCol w:w="1771"/>
        <w:tblGridChange w:id="0">
          <w:tblGrid>
            <w:gridCol w:w="1805"/>
            <w:gridCol w:w="1583"/>
            <w:gridCol w:w="1899"/>
            <w:gridCol w:w="1958"/>
            <w:gridCol w:w="1771"/>
          </w:tblGrid>
        </w:tblGridChange>
      </w:tblGrid>
      <w:tr>
        <w:trPr>
          <w:trHeight w:val="654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SPENDING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we will sustain the improvements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Dedicated sports leader to undertake extra-curricular sports clubs at lunch time and after school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KS1 and KS2.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£8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358.50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support children with SEMH as well as physical needs to provide lunch time physical activity each day.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assist in coaching school sports teams.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promote a positive attitude towards exercise, health and well-being.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 enabled children to make friends, learn new skills and increase confidence.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Provided children with the opportunity to adopt an active lifestyle.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Provided children with physical needs the opportunity to develop their skills.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 to provide extra - curricular clubs daily to support children with SEMH as well as physical needs.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continue to encourage children to be active each day by providing them with opportunities to do so – continuation of the daily mile.  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Specialist –Street 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2,500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develop the teachers knowledge and skills and improve the quality of dance provision across the school.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introduce the children to a different style of dance.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 extra curricular opportunities. 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Improved teaching and development of skills.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children have been given the opportunity to take part in street dance lessons with a specialist coach.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Children have been enthusiastic to join extra - curricular clubs in both KS1 and KS2 while learning a new form of expression.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 to provide high quality dance lesson from specialist coaches and provide CPD opportunities for all staff. 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Swimming Tuition 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561.00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all children to have achieved at least their 25m swimming award by the end of Year 6 to meet national requirements.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all children to have achieved their 50m swimming award by the end of Year 6. 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 of the children have achieved their 25m swimming award and have met the national requirement.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 of the children have achieved their 50m swimming award by the end of Year 6. 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 to provide swimming lessons for all children until they have achieved their 25m.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continue to provide swimming lessons for all children until they have achieved their 50m. 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PE &amp; Sports Hub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Increase breadth of sporting opportunities and enhance the PE curriculum.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 CPD opportunities for staff.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children have developed their understanding of the benefits of physical activity as well as engaging in competitive opportunities to develop wider skills.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 to use external specialist coaches to provide high quality P.E. lessons to improve the children’s skills and to provide the staff with CPD opportunities.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Lunch time sports EYFS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£525.00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support children with SEMH as well as physical needs to provide lunch time physical activity each day in EYFS. 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Has enabled children to make friends, learn new skills and increase confidence. 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Provided children with the opportunity to adopt an active lifestyle.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Provided children with physical needs the opportunity to develop their skills. 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Continue to provide extra - curricular clubs daily to support children with SEMH as well as physical needs. 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continue to encourage children to be active each day by providing them with opportunities to do so – continuation of the daily mile.  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Sports Equipment and resources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provide high quality P.E. lessons teaching a range of activities. 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 has improved the quality of P.E. lessons 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allow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more variety within the lessons. 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continue to use the equipment in P.E. lessons. 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12,964.10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Carrying £7471.00 to 2021 / 2022</w:t>
      </w: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20"/>
        <w:gridCol w:w="1448"/>
        <w:gridCol w:w="1448"/>
        <w:tblGridChange w:id="0">
          <w:tblGrid>
            <w:gridCol w:w="6120"/>
            <w:gridCol w:w="1448"/>
            <w:gridCol w:w="1448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Swimming and Water Safety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Percentage of children who can swim 25m by the end of Year 6.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69/69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Percentage of children who can use a range of strokes effectively by the end of Year 6. 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69/69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Percentage of children who can swim 50m by the end of Year 6. 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69/69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Additional provision for swimming has been provided to ensure that all children achieve 50m by the end of Year 6. 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A40499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04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D698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D698A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0548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B1wlzidkqQnfel2WLLBBy/7y6A==">AMUW2mU06ohGa03AxojoSCneFo3skLDnwd7H4Nx69dHX4rVef9xR7LUcLqgUVujzmy67SpLuuP48UBDrPoW0O7R/pWfNVG9GGhHH50K73thCr7MX2j4TFEPOoLoB7+LiaVcKWkjFAYbI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2020-07-15T09:27:00Z</dcterms:created>
  <dc:creator>Helen Wild</dc:creator>
</cp:coreProperties>
</file>